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773"/>
      </w:tblGrid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FD0250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5619750" cy="923925"/>
                  <wp:effectExtent l="19050" t="0" r="0" b="0"/>
                  <wp:docPr id="1" name="Imagem 1" descr="logo-boleti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oleti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FD0250">
            <w:pPr>
              <w:shd w:val="clear" w:color="auto" w:fill="FFFFFF"/>
              <w:jc w:val="center"/>
              <w:rPr>
                <w:rStyle w:val="Forte"/>
                <w:rFonts w:ascii="Baskerville Old Face" w:hAnsi="Baskerville Old Face"/>
                <w:color w:val="002060"/>
                <w:sz w:val="32"/>
                <w:szCs w:val="32"/>
              </w:rPr>
            </w:pPr>
            <w:r>
              <w:rPr>
                <w:rStyle w:val="Forte"/>
                <w:rFonts w:ascii="Baskerville Old Face" w:hAnsi="Baskerville Old Face"/>
                <w:color w:val="002060"/>
                <w:sz w:val="32"/>
                <w:szCs w:val="32"/>
              </w:rPr>
              <w:t>Boletim Semanal, Sínodo Sudeste - IECLB</w:t>
            </w:r>
          </w:p>
          <w:p w:rsidR="00000000" w:rsidRDefault="00FD0250">
            <w:pPr>
              <w:shd w:val="clear" w:color="auto" w:fill="FFFFFF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464 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13   a   20/02/2015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   </w:t>
            </w:r>
            <w:r>
              <w:rPr>
                <w:rStyle w:val="Forte"/>
                <w:rFonts w:ascii="Calibri" w:hAnsi="Calibri" w:cs="Calibri"/>
                <w:b w:val="0"/>
                <w:bCs w:val="0"/>
                <w:color w:val="002060"/>
                <w:sz w:val="20"/>
                <w:szCs w:val="20"/>
              </w:rPr>
              <w:t>-   </w:t>
            </w:r>
            <w:hyperlink r:id="rId5" w:tgtFrame="_blank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www.luteranos.com.br/sinodosudeste</w:t>
              </w:r>
            </w:hyperlink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FD0250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1514956477"/>
              <w:rPr>
                <w:rFonts w:ascii="Book Antiqua" w:eastAsia="Times New Roman" w:hAnsi="Book Antiqua"/>
                <w:b w:val="0"/>
                <w:bCs w:val="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Pastor Sinodal</w:t>
            </w:r>
          </w:p>
          <w:p w:rsidR="00000000" w:rsidRDefault="00FD025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119380</wp:posOffset>
                  </wp:positionV>
                  <wp:extent cx="4762500" cy="1590675"/>
                  <wp:effectExtent l="19050" t="0" r="0" b="0"/>
                  <wp:wrapSquare wrapText="right"/>
                  <wp:docPr id="3" name="Imagem 0" descr="B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FD025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dia 08 de fevereiro, o Pastor Sinodal fez a instalação do Pastor Nilton Giese no Primeiro Campo de Atividade Ministerial da Comu-nidade Evangélica de Confissão Luterana em </w:t>
            </w:r>
            <w:r>
              <w:rPr>
                <w:rFonts w:ascii="Arial" w:hAnsi="Arial" w:cs="Arial"/>
                <w:b/>
                <w:bCs/>
              </w:rPr>
              <w:t>Belo Horizonte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(MG). Muitos membros da Comunidade e visitantes do mundo ecumênico (CONIC-MG, Focolares, Igreja Metodista e ICAR) se fizeram presentes. Anteriormente, o Pastor Nilton Giese atuou como Secretário Geral do CLAI e traz consigo uma farta bagagem de experiência</w:t>
            </w:r>
            <w:r>
              <w:rPr>
                <w:rFonts w:ascii="Arial" w:hAnsi="Arial" w:cs="Arial"/>
              </w:rPr>
              <w:t>s no ecumenismo.  </w:t>
            </w:r>
            <w:hyperlink r:id="rId7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>Mais informações &gt;&gt;&gt;</w:t>
              </w:r>
            </w:hyperlink>
          </w:p>
          <w:p w:rsidR="00000000" w:rsidRDefault="00FD0250">
            <w:pPr>
              <w:spacing w:after="24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3876675" cy="1609725"/>
                  <wp:effectExtent l="19050" t="0" r="9525" b="0"/>
                  <wp:wrapSquare wrapText="bothSides"/>
                  <wp:docPr id="4" name="Imagem 1" descr="UP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P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No dia 10 de fevereiro, o Pastor Sinodal participou da </w:t>
            </w:r>
            <w:r>
              <w:rPr>
                <w:rFonts w:ascii="Arial" w:hAnsi="Arial" w:cs="Arial"/>
                <w:b/>
                <w:bCs/>
              </w:rPr>
              <w:t xml:space="preserve">Conferência de Ministros da União Paroquial São </w:t>
            </w:r>
            <w:r>
              <w:rPr>
                <w:rFonts w:ascii="Arial" w:hAnsi="Arial" w:cs="Arial"/>
                <w:b/>
                <w:bCs/>
              </w:rPr>
              <w:t>Paulo</w:t>
            </w:r>
            <w:r>
              <w:rPr>
                <w:rFonts w:ascii="Arial" w:hAnsi="Arial" w:cs="Arial"/>
              </w:rPr>
              <w:t>, realizada nas dependências da Comunidade Evangélica de Confissão Luterana em São José dos Campos (SP). Entre outros, foram abordados os seguintes assuntos: A necessidade de despertar vocações para o estudo de teologia em vista do pequeno número de c</w:t>
            </w:r>
            <w:r>
              <w:rPr>
                <w:rFonts w:ascii="Arial" w:hAnsi="Arial" w:cs="Arial"/>
              </w:rPr>
              <w:t xml:space="preserve">andidatos ao Ministério. Discutiu-se também sobre os custos de um estudo de teologia e de como superar esta dificuldade. Também se falou sobre o funcionamento da União Paroquial e seus desafios administrativos e missionários. </w:t>
            </w:r>
          </w:p>
          <w:p w:rsidR="00000000" w:rsidRDefault="00FD02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dias 13 a 15, o Pastor Si</w:t>
            </w:r>
            <w:r>
              <w:rPr>
                <w:rFonts w:ascii="Arial" w:hAnsi="Arial" w:cs="Arial"/>
              </w:rPr>
              <w:t xml:space="preserve">nodal estará em </w:t>
            </w:r>
            <w:r>
              <w:rPr>
                <w:rFonts w:ascii="Arial" w:hAnsi="Arial" w:cs="Arial"/>
                <w:b/>
                <w:bCs/>
              </w:rPr>
              <w:t>Teixeira de Freitas (BA),</w:t>
            </w:r>
            <w:r>
              <w:rPr>
                <w:rFonts w:ascii="Arial" w:hAnsi="Arial" w:cs="Arial"/>
              </w:rPr>
              <w:t xml:space="preserve"> fazendo a dedicação do novo espaço de cultos e de atividades comunitárias do Campo Missionário Nordeste de Minas e Sul da Bahia, naquela cidade. Também fará palestra sobre o Tema/Lema da IECLB durante o RELUCA (Ret</w:t>
            </w:r>
            <w:r>
              <w:rPr>
                <w:rFonts w:ascii="Arial" w:hAnsi="Arial" w:cs="Arial"/>
              </w:rPr>
              <w:t>iro Luterano de Carnaval), que será realizado em Teixeira de Freitas.</w:t>
            </w:r>
          </w:p>
          <w:p w:rsidR="00000000" w:rsidRDefault="00FD0250">
            <w:pPr>
              <w:pStyle w:val="Ttulo1"/>
              <w:shd w:val="clear" w:color="auto" w:fill="FDFCFA"/>
              <w:spacing w:before="0" w:beforeAutospacing="0" w:after="0" w:afterAutospacing="0"/>
              <w:rPr>
                <w:rStyle w:val="Forte"/>
                <w:rFonts w:eastAsia="Times New Roman"/>
                <w:b/>
                <w:bCs/>
                <w:smallCaps/>
                <w:color w:val="215868"/>
                <w:sz w:val="22"/>
                <w:szCs w:val="22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color w:val="215868"/>
                <w:sz w:val="22"/>
                <w:szCs w:val="22"/>
              </w:rPr>
              <w:t xml:space="preserve">                                                    </w:t>
            </w:r>
          </w:p>
          <w:p w:rsidR="00000000" w:rsidRDefault="00FD0250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201669586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color w:val="C00000"/>
                <w:spacing w:val="2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="Book Antiqua" w:eastAsia="Times New Roman" w:hAnsi="Book Antiqua"/>
                  <w:smallCaps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FD0250">
            <w:pPr>
              <w:shd w:val="clear" w:color="auto" w:fill="E5DFEC"/>
              <w:jc w:val="center"/>
              <w:rPr>
                <w:rStyle w:val="Forte"/>
                <w:i/>
                <w:iCs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FD0250">
            <w:pPr>
              <w:shd w:val="clear" w:color="auto" w:fill="E5DFEC"/>
              <w:jc w:val="center"/>
              <w:rPr>
                <w:rStyle w:val="Forte"/>
                <w:i/>
                <w:iCs/>
                <w:color w:val="002060"/>
                <w:sz w:val="28"/>
                <w:szCs w:val="28"/>
              </w:rPr>
            </w:pPr>
            <w:r>
              <w:rPr>
                <w:rStyle w:val="Forte"/>
                <w:i/>
                <w:iCs/>
                <w:color w:val="002060"/>
                <w:sz w:val="28"/>
                <w:szCs w:val="28"/>
              </w:rPr>
              <w:t xml:space="preserve">15 de fevereiro - Último Domingo após </w:t>
            </w:r>
            <w:proofErr w:type="gramStart"/>
            <w:r>
              <w:rPr>
                <w:rStyle w:val="Forte"/>
                <w:i/>
                <w:iCs/>
                <w:color w:val="002060"/>
                <w:sz w:val="28"/>
                <w:szCs w:val="28"/>
              </w:rPr>
              <w:t>Epifania(</w:t>
            </w:r>
            <w:proofErr w:type="gramEnd"/>
            <w:r>
              <w:rPr>
                <w:rStyle w:val="Forte"/>
                <w:i/>
                <w:iCs/>
                <w:color w:val="002060"/>
                <w:sz w:val="28"/>
                <w:szCs w:val="28"/>
              </w:rPr>
              <w:t>Estomihi)</w:t>
            </w:r>
          </w:p>
          <w:p w:rsidR="00000000" w:rsidRDefault="00FD0250">
            <w:pPr>
              <w:shd w:val="clear" w:color="auto" w:fill="E5DFEC"/>
              <w:jc w:val="center"/>
              <w:rPr>
                <w:rStyle w:val="Forte"/>
                <w:i/>
                <w:iCs/>
                <w:color w:val="4A442A"/>
              </w:rPr>
            </w:pPr>
            <w:proofErr w:type="gramStart"/>
            <w:r>
              <w:rPr>
                <w:rStyle w:val="Forte"/>
                <w:i/>
                <w:iCs/>
                <w:color w:val="4A442A"/>
              </w:rPr>
              <w:t>são</w:t>
            </w:r>
            <w:proofErr w:type="gramEnd"/>
            <w:r>
              <w:rPr>
                <w:rStyle w:val="Forte"/>
                <w:i/>
                <w:iCs/>
                <w:color w:val="4A442A"/>
              </w:rPr>
              <w:t xml:space="preserve"> destinadas pela IECLB para</w:t>
            </w:r>
          </w:p>
          <w:p w:rsidR="00000000" w:rsidRDefault="00FD0250">
            <w:pPr>
              <w:shd w:val="clear" w:color="auto" w:fill="E5DFEC"/>
              <w:jc w:val="center"/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  <w:t>Auxilio para Formação Teológica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  </w:t>
            </w:r>
            <w:proofErr w:type="gramStart"/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Style w:val="Forte"/>
                <w:color w:val="C00000"/>
                <w:sz w:val="28"/>
                <w:szCs w:val="28"/>
              </w:rPr>
              <w:t> </w:t>
            </w:r>
            <w:proofErr w:type="gramEnd"/>
            <w:r>
              <w:rPr>
                <w:rStyle w:val="Forte"/>
                <w:color w:val="C00000"/>
              </w:rPr>
              <w:t xml:space="preserve">- </w:t>
            </w:r>
            <w:r>
              <w:rPr>
                <w:rStyle w:val="Forte"/>
                <w:b w:val="0"/>
                <w:bCs w:val="0"/>
                <w:color w:val="C00000"/>
                <w:sz w:val="24"/>
                <w:szCs w:val="24"/>
              </w:rPr>
              <w:t>Oferta NACIONAL</w:t>
            </w:r>
          </w:p>
          <w:p w:rsidR="00000000" w:rsidRDefault="00FD0250">
            <w:pPr>
              <w:shd w:val="clear" w:color="auto" w:fill="E5DFEC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pessoa batizada é chamada a dar o seu testemunho cristão no mundo, exercendo assim o sacerdócio geral. No entanto, a Comunidade necessita de pessoas que sejam especialmente preparadas para anunciar o Evangelho,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administrar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os sacramentos e despertar a fé n</w:t>
            </w:r>
            <w:r>
              <w:rPr>
                <w:rFonts w:ascii="Century Gothic" w:hAnsi="Century Gothic"/>
                <w:sz w:val="20"/>
                <w:szCs w:val="20"/>
              </w:rPr>
              <w:t>as pessoas. Por isso, a IECLB zela pela boa formação e preparação de seus futuros ministros e futuras ministras.</w:t>
            </w:r>
          </w:p>
          <w:p w:rsidR="00000000" w:rsidRDefault="00FD0250">
            <w:pPr>
              <w:shd w:val="clear" w:color="auto" w:fill="E5DFEC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Todas as instâncias da Igreja estão envolvidas com o processo de formação e são </w:t>
            </w:r>
            <w:r>
              <w:rPr>
                <w:rFonts w:ascii="Century Gothic" w:hAnsi="Century Gothic"/>
                <w:sz w:val="20"/>
                <w:szCs w:val="20"/>
              </w:rPr>
              <w:t>responsáveis por ele, mas a Comunidade tem uma tarefa especial e diferenciada neste processo, pois no convívio comunitário é que são despertadas vocações para a atuação ministerial. A Comunidade motiva, encaminha, acompanha e apoia estudantes durante o seu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período de estudo. Através das Ofertas a Comunidade ampara e dá condições para que estudantes possam concluir seus estudos.</w:t>
            </w:r>
          </w:p>
          <w:p w:rsidR="00000000" w:rsidRDefault="00FD0250">
            <w:pPr>
              <w:shd w:val="clear" w:color="auto" w:fill="E5DFEC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IECLB necessita de ministras e ministros bem preparados e que possam divulgar e ensinar o Evangelho com fidelidade nos diferentes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contextos da Igreja no Brasil e no mundo. Cuidar da formação é uma tarefa que envolve toda a Igreja. Agradecemos as Comunidades pelo apoio à formação teológica dos futuros ministros e futuras ministras da IECLB e recomendamos as ofertas deste domingo.</w:t>
            </w:r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FD0250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190191123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Bíblico da Semana</w:t>
            </w:r>
          </w:p>
          <w:p w:rsidR="00000000" w:rsidRDefault="00FD0250">
            <w:pPr>
              <w:shd w:val="clear" w:color="auto" w:fill="FDE9D9"/>
              <w:jc w:val="right"/>
              <w:rPr>
                <w:b/>
                <w:bCs/>
              </w:rPr>
            </w:pPr>
            <w:r>
              <w:rPr>
                <w:b/>
                <w:bCs/>
                <w:color w:val="E36C0A"/>
                <w:sz w:val="24"/>
                <w:szCs w:val="24"/>
              </w:rPr>
              <w:t xml:space="preserve">O salmista canta ao Ungido: </w:t>
            </w:r>
            <w:r>
              <w:rPr>
                <w:b/>
                <w:bCs/>
                <w:i/>
                <w:iCs/>
                <w:color w:val="E36C0A"/>
                <w:sz w:val="24"/>
                <w:szCs w:val="24"/>
              </w:rPr>
              <w:t>“tu és o mais formoso dos humanos; nos teus lábios se extravasou a graça; por isso, Deus te abençoou para sempre.”</w:t>
            </w:r>
            <w:r>
              <w:rPr>
                <w:b/>
                <w:bCs/>
                <w:color w:val="E36C0A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E36C0A"/>
                <w:sz w:val="24"/>
                <w:szCs w:val="24"/>
              </w:rPr>
              <w:br/>
            </w:r>
            <w:r>
              <w:rPr>
                <w:rFonts w:ascii="Century Gothic" w:hAnsi="Century Gothic"/>
              </w:rPr>
              <w:t>Salmo 45.2</w:t>
            </w:r>
            <w:r>
              <w:rPr>
                <w:rFonts w:ascii="Century Gothic" w:hAnsi="Century Gothic"/>
                <w:b/>
                <w:bCs/>
                <w:color w:val="E36C0A"/>
                <w:sz w:val="24"/>
                <w:szCs w:val="24"/>
              </w:rPr>
              <w:t xml:space="preserve"> </w:t>
            </w:r>
          </w:p>
          <w:p w:rsidR="00000000" w:rsidRDefault="00FD0250">
            <w:pPr>
              <w:shd w:val="clear" w:color="auto" w:fill="FDE9D9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Você já deve ter percebido que, quando uma pessoa tem uma palavra coerente, c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onvincente, que fala ao coração, nós achamos essa pessoa bonita, independente de seu aspecto físico. É o que acontece com as pessoas enamoradas. “O que você viu nessa pessoa para se apaixonar tanto assim por ela?” perguntamos. Pessoas sempre são lindas qua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ndo gostamos delas. Eu me lembro da história da menina que escolheu um sapo como animal de estimação. Horrorizada, a mãe perguntou: “Filha, por que não escolhes um cão ou um gato? Tinha que ser este sapo horrível?” Ao que a menina respondeu: “Porque ele é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meu amigo!”</w:t>
            </w:r>
          </w:p>
          <w:p w:rsidR="00000000" w:rsidRDefault="00FD0250">
            <w:pPr>
              <w:shd w:val="clear" w:color="auto" w:fill="FDE9D9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 Salmo 45.2 faz parte de um hino composto para celebrar o casamento de um rei no antigo Israel. O rei simbolizava a nação. Assim, o Salmo também era um cântico para enaltecer o povo escolhido de Deus. Mais tarde, o Salmo 45 passou a ser cantad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 para se referir ao Ungido de Deus, o Messias, o Salvador esperado.</w:t>
            </w:r>
          </w:p>
          <w:p w:rsidR="00000000" w:rsidRDefault="00FD0250">
            <w:pPr>
              <w:shd w:val="clear" w:color="auto" w:fill="FDE9D9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Esta é a leitura que a comunidade cristã faz do Salmo. Nossa atenção se volta para o Senhor Jesus Cristo em quem se cumpriram as profecias do Antigo Testamento. Independente dos aspectos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 atributos físicos do Salvador, nós expressamos neste Salmo a nossa fé e a nossa confiança Naquele que nos cativou através da sua Palavra graciosa, pelo seu agir amoroso trazendo a misericórdia de Deus, pelo seu sacrifício por nós na cruz, pela revelação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de vida e salvação na manhã da Páscoa, pelo seu caminho conosco e à nossa frente no testemunho e na prática do amor cristão.</w:t>
            </w:r>
          </w:p>
          <w:p w:rsidR="00000000" w:rsidRDefault="00FD0250">
            <w:pPr>
              <w:shd w:val="clear" w:color="auto" w:fill="FDE9D9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Não tem como não ficar apaixonado/a!</w:t>
            </w:r>
          </w:p>
          <w:p w:rsidR="00000000" w:rsidRDefault="00FD0250">
            <w:pPr>
              <w:shd w:val="clear" w:color="auto" w:fill="FDE9D9"/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Pastor Sinodal Geraldo Graf</w:t>
            </w:r>
          </w:p>
          <w:p w:rsidR="00000000" w:rsidRDefault="00FD0250">
            <w:pPr>
              <w:ind w:right="87"/>
              <w:rPr>
                <w:color w:val="000000"/>
                <w:sz w:val="12"/>
                <w:szCs w:val="12"/>
              </w:rPr>
            </w:pPr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FD0250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2011982008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FD02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 xml:space="preserve">Ministros </w:t>
            </w: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e Ministras no Sínodo Sudeste - IECLB</w:t>
            </w:r>
          </w:p>
          <w:p w:rsidR="00000000" w:rsidRDefault="00FD0250">
            <w:pPr>
              <w:pStyle w:val="Ttulo1"/>
              <w:spacing w:after="75" w:afterAutospacing="0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Deus caminha com seu povo</w:t>
            </w:r>
          </w:p>
          <w:p w:rsidR="00000000" w:rsidRDefault="00FD0250">
            <w:pPr>
              <w:pStyle w:val="Ttulo1"/>
              <w:spacing w:before="120" w:beforeAutospacing="0" w:after="0" w:afterAutospacing="0"/>
              <w:jc w:val="both"/>
              <w:rPr>
                <w:rFonts w:ascii="Century Gothic" w:eastAsia="Times New Roman" w:hAnsi="Century Gothic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 w:val="0"/>
                <w:bCs w:val="0"/>
                <w:color w:val="C00000"/>
                <w:sz w:val="22"/>
                <w:szCs w:val="22"/>
              </w:rPr>
              <w:t>O nosso texto em particular retrata a resposta a uma inquietação do povo que, caminha em direção à terra prometida. Aprendendo a ser conduzido por um Deus de misericórdia e amor, que o resgata</w:t>
            </w:r>
            <w:r>
              <w:rPr>
                <w:rFonts w:ascii="Century Gothic" w:eastAsia="Times New Roman" w:hAnsi="Century Gothic"/>
                <w:b w:val="0"/>
                <w:bCs w:val="0"/>
                <w:color w:val="C00000"/>
                <w:sz w:val="22"/>
                <w:szCs w:val="22"/>
              </w:rPr>
              <w:t>ra da vida de opressão e escravidão. Moisés está dando suas últimas instruções ao povo antes de sua morte. Ele está afirmando...</w:t>
            </w:r>
          </w:p>
          <w:p w:rsidR="00000000" w:rsidRDefault="00FD0250">
            <w:pPr>
              <w:pStyle w:val="NormalWeb"/>
              <w:shd w:val="clear" w:color="auto" w:fill="FDFCFA"/>
              <w:spacing w:before="0" w:beforeAutospacing="0" w:after="0" w:afterAutospacing="0" w:line="263" w:lineRule="atLeast"/>
              <w:jc w:val="right"/>
              <w:rPr>
                <w:rFonts w:ascii="Verdana" w:hAnsi="Verdana"/>
                <w:color w:val="215868"/>
                <w:sz w:val="20"/>
                <w:szCs w:val="20"/>
                <w:bdr w:val="none" w:sz="0" w:space="0" w:color="auto" w:frame="1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sz w:val="20"/>
                  <w:szCs w:val="20"/>
                  <w:bdr w:val="none" w:sz="0" w:space="0" w:color="auto" w:frame="1"/>
                </w:rPr>
                <w:t>Leia a meditação&gt;&gt;&gt;</w:t>
              </w:r>
            </w:hyperlink>
          </w:p>
          <w:p w:rsidR="00000000" w:rsidRDefault="00FD0250">
            <w:pPr>
              <w:pStyle w:val="NormalWeb"/>
              <w:shd w:val="clear" w:color="auto" w:fill="FDFCFA"/>
              <w:spacing w:before="0" w:beforeAutospacing="0" w:after="0" w:afterAutospacing="0" w:line="263" w:lineRule="atLeas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CEF1F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FD0250">
            <w:pPr>
              <w:shd w:val="clear" w:color="auto" w:fill="CEF1FE"/>
              <w:ind w:left="374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6"/>
                <w:szCs w:val="36"/>
              </w:rPr>
              <w:t>Conferência plena dos ministros</w:t>
            </w:r>
            <w:r>
              <w:rPr>
                <w:rFonts w:ascii="Book Antiqua" w:hAnsi="Book Antiqua"/>
                <w:smallCaps/>
                <w:spacing w:val="20"/>
                <w:sz w:val="36"/>
                <w:szCs w:val="36"/>
              </w:rPr>
              <w:br/>
            </w:r>
            <w:r>
              <w:rPr>
                <w:rFonts w:ascii="Arial" w:hAnsi="Arial" w:cs="Arial"/>
              </w:rPr>
              <w:t xml:space="preserve">Tod@s ministr@s em atividade e residentes no Sínodo Sudeste estão convidados para a Conferência Plena a realizar-se nos dias </w:t>
            </w:r>
            <w:r>
              <w:rPr>
                <w:rFonts w:ascii="Arial" w:hAnsi="Arial" w:cs="Arial"/>
                <w:b/>
                <w:bCs/>
              </w:rPr>
              <w:t>16 a 18 de março</w:t>
            </w:r>
            <w:r>
              <w:rPr>
                <w:rFonts w:ascii="Arial" w:hAnsi="Arial" w:cs="Arial"/>
              </w:rPr>
              <w:t xml:space="preserve"> nas dependências do CELAR – Araras, Petrópolis/RJ.</w:t>
            </w:r>
          </w:p>
          <w:p w:rsidR="00000000" w:rsidRDefault="00D812C2">
            <w:pPr>
              <w:shd w:val="clear" w:color="auto" w:fill="CEF1FE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15868"/>
              </w:rPr>
            </w:pPr>
            <w:r>
              <w:rPr>
                <w:rFonts w:ascii="Arial" w:eastAsia="Times New Roman" w:hAnsi="Arial" w:cs="Arial"/>
                <w:b/>
                <w:bCs/>
                <w:color w:val="215868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000000" w:rsidRDefault="00FD0250">
            <w:pPr>
              <w:shd w:val="clear" w:color="auto" w:fill="CEF1FE"/>
              <w:jc w:val="center"/>
              <w:textAlignment w:val="baseline"/>
              <w:rPr>
                <w:rStyle w:val="Forte"/>
                <w:rFonts w:ascii="Book Antiqua" w:hAnsi="Book Antiqua"/>
                <w:smallCaps/>
                <w:spacing w:val="20"/>
                <w:sz w:val="36"/>
                <w:szCs w:val="36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6"/>
                <w:szCs w:val="36"/>
              </w:rPr>
              <w:t>Reunião de Lideranças do trabalho com JE</w:t>
            </w:r>
          </w:p>
          <w:p w:rsidR="00000000" w:rsidRDefault="00FD0250">
            <w:pPr>
              <w:autoSpaceDE w:val="0"/>
              <w:autoSpaceDN w:val="0"/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</w:rPr>
              <w:t xml:space="preserve">No dia </w:t>
            </w:r>
            <w:r>
              <w:rPr>
                <w:rFonts w:ascii="Arial" w:hAnsi="Arial" w:cs="Arial"/>
                <w:b/>
                <w:bCs/>
              </w:rPr>
              <w:t>21 de fevereiro</w:t>
            </w:r>
            <w:r>
              <w:rPr>
                <w:rFonts w:ascii="Arial" w:hAnsi="Arial" w:cs="Arial"/>
              </w:rPr>
              <w:t xml:space="preserve"> próximo será realizada em São Paulo, reunião de Ministros e Lideranças dos grupos de</w:t>
            </w:r>
            <w:r>
              <w:rPr>
                <w:rFonts w:ascii="Arial" w:hAnsi="Arial" w:cs="Arial"/>
              </w:rPr>
              <w:t xml:space="preserve"> JE para definir uma coordenação do trabalho com jovens em nível de Sínodo e dos quatro Núcleos / Possibilidades orçamentárias / e Planejar e encaminhar o Seminário de Formação de Jovens</w:t>
            </w:r>
            <w:r>
              <w:rPr>
                <w:rFonts w:ascii="Arial" w:hAnsi="Arial" w:cs="Arial"/>
              </w:rPr>
              <w:br/>
              <w:t> do Sínodo Sudeste - 25 e 26 de julho de 2015.</w:t>
            </w:r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FD0250">
            <w:pPr>
              <w:shd w:val="clear" w:color="auto" w:fill="EAF1DD"/>
              <w:ind w:left="374"/>
              <w:jc w:val="center"/>
              <w:textAlignment w:val="baseline"/>
              <w:rPr>
                <w:rStyle w:val="Forte"/>
                <w:rFonts w:ascii="Arial" w:hAnsi="Arial" w:cs="Arial"/>
                <w:smallCaps/>
                <w:color w:val="215868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14605</wp:posOffset>
                  </wp:positionV>
                  <wp:extent cx="2052320" cy="2876550"/>
                  <wp:effectExtent l="19050" t="0" r="5080" b="0"/>
                  <wp:wrapSquare wrapText="bothSides"/>
                  <wp:docPr id="2" name="Imagem 5" descr="instituto_sustent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instituto_sustent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87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FD02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Chamamos novamente para participar do Curso</w:t>
            </w:r>
            <w:r>
              <w:rPr>
                <w:rFonts w:ascii="Arial" w:hAnsi="Arial" w:cs="Arial"/>
              </w:rPr>
              <w:br/>
            </w:r>
            <w:r>
              <w:t> </w:t>
            </w:r>
            <w:r>
              <w:rPr>
                <w:b/>
                <w:bCs/>
                <w:sz w:val="20"/>
                <w:szCs w:val="20"/>
              </w:rPr>
              <w:t>“Qualificação Funcional em Liderança Comunitária Sustentável”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C00000"/>
                <w:sz w:val="20"/>
                <w:szCs w:val="20"/>
              </w:rPr>
              <w:t>Este curso é destinado a pessoas que atuam ou pretendem atuar em presbitérios de Comunidades, Conselhos Sinodais, Conselho da Igreja e também para o</w:t>
            </w:r>
            <w:r>
              <w:rPr>
                <w:color w:val="C00000"/>
                <w:sz w:val="20"/>
                <w:szCs w:val="20"/>
              </w:rPr>
              <w:t>utras lideranças comunitárias. Visa capacitar os e as participantes a oferecerem o melhor dos seus dons com vistas à boa condução das atividades da Comunidade, Paróquia, do Sínodo, na perspectiva da missão de Deus.</w:t>
            </w:r>
          </w:p>
          <w:p w:rsidR="00000000" w:rsidRDefault="00FD0250">
            <w:pPr>
              <w:pStyle w:val="Defaul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  <w:p w:rsidR="00000000" w:rsidRDefault="00FD02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que já manifestaram interesse serão c</w:t>
            </w:r>
            <w:r>
              <w:rPr>
                <w:sz w:val="22"/>
                <w:szCs w:val="22"/>
              </w:rPr>
              <w:t xml:space="preserve">hamados para inscrição nas próximas semanas.  </w:t>
            </w:r>
          </w:p>
          <w:p w:rsidR="00000000" w:rsidRDefault="00FD0250">
            <w:pPr>
              <w:pStyle w:val="Defaul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  <w:p w:rsidR="00000000" w:rsidRDefault="00FD0250">
            <w:pPr>
              <w:pStyle w:val="Defaul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Faça sua inscrição através do email do Sinodo Sudeste</w:t>
            </w:r>
            <w:r>
              <w:rPr>
                <w:rFonts w:ascii="Arial" w:hAnsi="Arial" w:cs="Arial"/>
                <w:color w:val="215868"/>
                <w:sz w:val="22"/>
                <w:szCs w:val="22"/>
              </w:rPr>
              <w:t xml:space="preserve"> </w:t>
            </w:r>
          </w:p>
          <w:p w:rsidR="00000000" w:rsidRDefault="00FD0250">
            <w:pPr>
              <w:pStyle w:val="Default"/>
              <w:rPr>
                <w:rStyle w:val="Forte"/>
                <w:smallCaps/>
                <w:spacing w:val="20"/>
              </w:rPr>
            </w:pPr>
          </w:p>
          <w:p w:rsidR="00000000" w:rsidRDefault="00FD025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Mais informações</w:t>
            </w:r>
            <w:r>
              <w:rPr>
                <w:rStyle w:val="Forte"/>
                <w:rFonts w:ascii="Arial" w:hAnsi="Arial" w:cs="Arial"/>
                <w:smallCaps/>
                <w:color w:val="215868"/>
                <w:spacing w:val="20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http://sustentabilidad.est.edu.br/</w:t>
              </w:r>
            </w:hyperlink>
          </w:p>
          <w:p w:rsidR="00000000" w:rsidRDefault="00FD0250">
            <w:pPr>
              <w:pStyle w:val="Default"/>
              <w:rPr>
                <w:rStyle w:val="Forte"/>
                <w:rFonts w:ascii="Arial" w:hAnsi="Arial" w:cs="Arial"/>
                <w:smallCaps/>
                <w:spacing w:val="20"/>
                <w:sz w:val="22"/>
                <w:szCs w:val="22"/>
              </w:rPr>
            </w:pPr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FD0250">
            <w:pPr>
              <w:spacing w:after="120"/>
              <w:ind w:left="272" w:right="272"/>
              <w:jc w:val="center"/>
              <w:rPr>
                <w:b/>
                <w:bCs/>
                <w:color w:val="4F6228"/>
              </w:rPr>
            </w:pPr>
            <w:hyperlink r:id="rId13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Notícias das Comunidades e Paróquias do Sinodo Sudeste publicadas no Portal Luteranos</w:t>
              </w:r>
            </w:hyperlink>
            <w:r>
              <w:rPr>
                <w:b/>
                <w:bCs/>
                <w:color w:val="215868"/>
              </w:rPr>
              <w:br/>
            </w:r>
            <w:r>
              <w:rPr>
                <w:b/>
                <w:bCs/>
                <w:i/>
                <w:iCs/>
                <w:color w:val="4F6228"/>
                <w:sz w:val="32"/>
                <w:szCs w:val="32"/>
              </w:rPr>
              <w:t>A</w:t>
            </w:r>
            <w:r>
              <w:rPr>
                <w:b/>
                <w:bCs/>
                <w:i/>
                <w:iCs/>
                <w:color w:val="4F6228"/>
              </w:rPr>
              <w:t>lguns destaques do</w:t>
            </w:r>
            <w:proofErr w:type="gramStart"/>
            <w:r>
              <w:rPr>
                <w:b/>
                <w:bCs/>
                <w:i/>
                <w:iCs/>
                <w:color w:val="4F6228"/>
              </w:rPr>
              <w:t xml:space="preserve">  </w:t>
            </w:r>
            <w:proofErr w:type="gramEnd"/>
            <w:r>
              <w:rPr>
                <w:b/>
                <w:bCs/>
                <w:i/>
                <w:iCs/>
                <w:color w:val="4F6228"/>
              </w:rPr>
              <w:t>mês:</w:t>
            </w:r>
          </w:p>
          <w:p w:rsidR="00000000" w:rsidRDefault="00FD0250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23/03/2015  </w:t>
            </w:r>
            <w:hyperlink r:id="rId1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Curso Básico da Fé</w:t>
              </w:r>
            </w:hyperlink>
          </w:p>
          <w:p w:rsidR="00000000" w:rsidRDefault="00FD0250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12/02/2015  </w:t>
            </w:r>
            <w:hyperlink r:id="rId1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- Boletim Expresso Nº 245 - 150212 - Mateus 4.1-11: A vida não é um carnaval</w:t>
              </w:r>
            </w:hyperlink>
          </w:p>
          <w:p w:rsidR="00000000" w:rsidRDefault="00FD0250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10/02/2015  </w:t>
            </w:r>
            <w:hyperlink r:id="rId16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Nª 40 - 150210 - Mateus 4.1-11: A vida não é um carnaval</w:t>
              </w:r>
            </w:hyperlink>
          </w:p>
          <w:p w:rsidR="00000000" w:rsidRDefault="00FD0250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08/02/2015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Pastor Nilton Giese é instalado em Belo Horizonte</w:t>
              </w:r>
            </w:hyperlink>
          </w:p>
          <w:p w:rsidR="00000000" w:rsidRDefault="00FD0250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07/02/2015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As Curiosas estão vivas!</w:t>
              </w:r>
            </w:hyperlink>
          </w:p>
          <w:p w:rsidR="00000000" w:rsidRDefault="00FD0250">
            <w:pPr>
              <w:rPr>
                <w:rFonts w:ascii="Arial" w:hAnsi="Arial" w:cs="Arial"/>
                <w:i/>
                <w:iCs/>
                <w:color w:val="215868"/>
              </w:rPr>
            </w:pPr>
          </w:p>
        </w:tc>
      </w:tr>
      <w:tr w:rsidR="00000000" w:rsidTr="00B0079B">
        <w:trPr>
          <w:tblCellSpacing w:w="15" w:type="dxa"/>
          <w:jc w:val="center"/>
        </w:trPr>
        <w:tc>
          <w:tcPr>
            <w:tcW w:w="10713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FD0250">
            <w:pPr>
              <w:jc w:val="center"/>
              <w:rPr>
                <w:rFonts w:ascii="Calibri" w:hAnsi="Calibri" w:cs="Calibri"/>
                <w:i/>
                <w:iCs/>
                <w:sz w:val="8"/>
                <w:szCs w:val="8"/>
              </w:rPr>
            </w:pPr>
          </w:p>
          <w:p w:rsidR="00000000" w:rsidRDefault="00FD0250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disponíveis na página do Sínodo Sudeste </w:t>
            </w:r>
            <w:r>
              <w:rPr>
                <w:rFonts w:ascii="Calibri" w:hAnsi="Calibri" w:cs="Calibri"/>
                <w:i/>
                <w:iCs/>
                <w:color w:val="404040"/>
              </w:rPr>
              <w:br/>
              <w:t xml:space="preserve">no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19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Você </w:t>
            </w:r>
            <w:r>
              <w:rPr>
                <w:rFonts w:ascii="Calibri" w:hAnsi="Calibri" w:cs="Calibri"/>
                <w:sz w:val="18"/>
                <w:szCs w:val="18"/>
              </w:rPr>
              <w:t>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0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21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</w:tr>
    </w:tbl>
    <w:p w:rsidR="00FD0250" w:rsidRDefault="00FD0250"/>
    <w:sectPr w:rsidR="00FD0250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0"/>
  <w:noPunctuationKerning/>
  <w:characterSpacingControl w:val="doNotCompress"/>
  <w:compat>
    <w:doNotExpandShiftReturn/>
  </w:compat>
  <w:rsids>
    <w:rsidRoot w:val="00D812C2"/>
    <w:rsid w:val="00B0079B"/>
    <w:rsid w:val="00D812C2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4">
    <w:name w:val="EstiloDeEmail24"/>
    <w:aliases w:val="EstiloDeEmail24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7">
    <w:name w:val="EstiloDeEmail27"/>
    <w:aliases w:val="EstiloDeEmail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12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166958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1495647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1198200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teranos.com.br/" TargetMode="External"/><Relationship Id="rId18" Type="http://schemas.openxmlformats.org/officeDocument/2006/relationships/hyperlink" Target="http://www.luteranos.com.br/noticias/vila-campo-grande-diadema/as-curiosas-estao-viv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7" Type="http://schemas.openxmlformats.org/officeDocument/2006/relationships/hyperlink" Target="http://luteranos.com.br/noticias/sudeste/pastor-nilton-giese-e-instalado-em-belo-horizonte-2" TargetMode="External"/><Relationship Id="rId12" Type="http://schemas.openxmlformats.org/officeDocument/2006/relationships/hyperlink" Target="http://sustentabilidad.est.edu.br/" TargetMode="External"/><Relationship Id="rId17" Type="http://schemas.openxmlformats.org/officeDocument/2006/relationships/hyperlink" Target="http://luteranos.com.br/noticias/sudeste/pastor-nilton-giese-e-instalado-em-belo-horizonte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noticias/santos-sp/luteranos-santos-boletim-semanal-n-40-150210-mateus-4-1-11-a-vida-nao-e-um-carnaval" TargetMode="External"/><Relationship Id="rId20" Type="http://schemas.openxmlformats.org/officeDocument/2006/relationships/hyperlink" Target="mailto:sinodosudeste@luteranos.com.br?subject=Cancelamento%20de%20Boletim&amp;body=Favor%20cancelar%20o%20envio%20do%20Boletim%20Semana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www.luteranos.com.br/sinodosudeste" TargetMode="External"/><Relationship Id="rId15" Type="http://schemas.openxmlformats.org/officeDocument/2006/relationships/hyperlink" Target="http://www.luteranos.com.br/noticias/vila-campo-grande-diadema/capela-de-cristo-boletim-expresso-n-245-150212-mateus-4-1-11-a-vida-nao-e-um-carnav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uteranos.com.br/conteudo/deus-caminha-com-seu-povo" TargetMode="External"/><Relationship Id="rId19" Type="http://schemas.openxmlformats.org/officeDocument/2006/relationships/hyperlink" Target="http://luteranos.com.br/conteudo_organizacao/sudeste/boletim-semanal-ano-201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uteranos.com.br/conteudo_organizacao/sudeste/plano-nacional-de-ofertas-da-ieclb-para-2015-sinodo-sudeste" TargetMode="External"/><Relationship Id="rId14" Type="http://schemas.openxmlformats.org/officeDocument/2006/relationships/hyperlink" Target="http://www.luteranos.com.br/eventos/santos-sp/curso-basico-da-fe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2015-02-12T18:50:00Z</dcterms:created>
  <dcterms:modified xsi:type="dcterms:W3CDTF">2015-02-12T18:50:00Z</dcterms:modified>
</cp:coreProperties>
</file>