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570"/>
        <w:gridCol w:w="123"/>
      </w:tblGrid>
      <w:tr w:rsidR="00000000" w:rsidTr="006C5CBC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r>
              <w:t> </w:t>
            </w: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r>
              <w:t> </w:t>
            </w: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3B1D1A">
            <w:pPr>
              <w:shd w:val="clear" w:color="auto" w:fill="FFFFFF"/>
              <w:jc w:val="center"/>
              <w:divId w:val="1662931718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516 -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19  a 25/02/2016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r>
              <w:t> </w:t>
            </w: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D1A">
            <w:pPr>
              <w:rPr>
                <w:color w:val="215868"/>
                <w:sz w:val="8"/>
                <w:szCs w:val="8"/>
              </w:rPr>
            </w:pPr>
          </w:p>
          <w:p w:rsidR="00000000" w:rsidRDefault="003B1D1A">
            <w:pPr>
              <w:spacing w:after="240"/>
              <w:jc w:val="center"/>
              <w:rPr>
                <w:rFonts w:ascii="Arial Rounded MT Bold" w:hAnsi="Arial Rounded MT Bold"/>
                <w:i/>
                <w:iCs/>
                <w:color w:val="E36C0A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iCs/>
                <w:color w:val="E36C0A"/>
                <w:sz w:val="28"/>
                <w:szCs w:val="28"/>
              </w:rPr>
              <w:t>Sábado, 24h -  final do horário de verão</w:t>
            </w:r>
          </w:p>
          <w:p w:rsidR="00000000" w:rsidRDefault="003B1D1A">
            <w:pPr>
              <w:pStyle w:val="Ttulo1"/>
              <w:shd w:val="clear" w:color="auto" w:fill="9900FF"/>
              <w:spacing w:before="0" w:beforeAutospacing="0" w:after="0" w:afterAutospacing="0"/>
              <w:jc w:val="center"/>
              <w:rPr>
                <w:rFonts w:ascii="Book Antiqua" w:eastAsia="Times New Roman" w:hAnsi="Book Antiqua"/>
                <w:b w:val="0"/>
                <w:bCs w:val="0"/>
                <w:color w:val="215868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Agenda do Sínodo</w:t>
            </w:r>
          </w:p>
          <w:p w:rsidR="00000000" w:rsidRDefault="003B1D1A">
            <w:pPr>
              <w:jc w:val="both"/>
              <w:rPr>
                <w:rFonts w:ascii="Arial" w:hAnsi="Arial" w:cs="Arial"/>
                <w:color w:val="215868"/>
                <w:sz w:val="16"/>
                <w:szCs w:val="16"/>
              </w:rPr>
            </w:pPr>
          </w:p>
          <w:p w:rsidR="00000000" w:rsidRDefault="003B1D1A">
            <w:pPr>
              <w:rPr>
                <w:color w:val="215868"/>
              </w:rPr>
            </w:pPr>
            <w:r>
              <w:rPr>
                <w:sz w:val="32"/>
                <w:szCs w:val="32"/>
              </w:rPr>
              <w:t>N</w:t>
            </w:r>
            <w:r>
              <w:t xml:space="preserve">os </w:t>
            </w:r>
            <w:r>
              <w:rPr>
                <w:u w:val="single"/>
              </w:rPr>
              <w:t>dias 13 e 14 de fevereiro</w:t>
            </w:r>
            <w:r>
              <w:t xml:space="preserve">, o Pastor Sinodal Geraldo Graf visitou, juntamente com o </w:t>
            </w:r>
          </w:p>
          <w:p w:rsidR="00000000" w:rsidRDefault="003B1D1A">
            <w:pPr>
              <w:jc w:val="both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3B1D1A">
            <w:pPr>
              <w:jc w:val="both"/>
              <w:rPr>
                <w:color w:val="215868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477000" cy="2190750"/>
                  <wp:effectExtent l="19050" t="0" r="0" b="0"/>
                  <wp:wrapSquare wrapText="bothSides"/>
                  <wp:docPr id="4" name="Imagem 3" descr="Niteroi e Rese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iteroi e Rese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19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3B1D1A">
            <w:pPr>
              <w:jc w:val="both"/>
            </w:pPr>
            <w:r>
              <w:t xml:space="preserve">Secretário de Missão da IECLB </w:t>
            </w:r>
            <w:r>
              <w:t xml:space="preserve">P. Dr. Pedro Puentes Reyes e a Coordenadora de Projetos da IECLB Sra. Gisele Mello, A Paróquia de </w:t>
            </w:r>
            <w:r>
              <w:rPr>
                <w:b/>
                <w:bCs/>
              </w:rPr>
              <w:t>Niterói</w:t>
            </w:r>
            <w:r>
              <w:t xml:space="preserve"> e a Comunidade de </w:t>
            </w:r>
            <w:r>
              <w:rPr>
                <w:b/>
                <w:bCs/>
              </w:rPr>
              <w:t>Resende</w:t>
            </w:r>
            <w:r>
              <w:t xml:space="preserve"> (ambas no estado do Rio de Janeiro), onde, juntamente com as lideranças locais, avaliaram a continuidade dos projetos "</w:t>
            </w:r>
            <w:proofErr w:type="gramStart"/>
            <w:r>
              <w:t>Educa</w:t>
            </w:r>
            <w:r>
              <w:t>r</w:t>
            </w:r>
            <w:proofErr w:type="gramEnd"/>
            <w:r>
              <w:t xml:space="preserve"> pela Paz", "Projeto Missionário Norte Fluminense" e "Projeto Missionário Resende" respectivamente. Após ampla exposição por parte dos responsáveis dos projetos, foi acertado que os mesmos serão reenviados após </w:t>
            </w:r>
            <w:proofErr w:type="spellStart"/>
            <w:r>
              <w:t>reelaboração</w:t>
            </w:r>
            <w:proofErr w:type="spellEnd"/>
            <w:r>
              <w:t>. Em ambas as ocasiões, houve ce</w:t>
            </w:r>
            <w:r>
              <w:t>lebração de culto, cuja pregação foi dirigida pelo Pastor Sinodal.</w:t>
            </w:r>
          </w:p>
          <w:p w:rsidR="00000000" w:rsidRDefault="003B1D1A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dia </w:t>
            </w:r>
            <w:r>
              <w:rPr>
                <w:u w:val="single"/>
              </w:rPr>
              <w:t>16 de fevereiro</w:t>
            </w:r>
            <w:r>
              <w:t xml:space="preserve">, o Pastor Sinodal participou da </w:t>
            </w:r>
            <w:r>
              <w:rPr>
                <w:b/>
                <w:bCs/>
              </w:rPr>
              <w:t>Conferência Ministerial da União Paroquial São Paulo</w:t>
            </w:r>
            <w:r>
              <w:t>. A Conferência foi realizada nas dependências da Comunidade Martin Luther, Paróqu</w:t>
            </w:r>
            <w:r>
              <w:t>ia Centro de São Paulo/SP. Além de oração, reflexão da Palavra de Deus, os participantes avaliaram a caminhada conjunta das Comunidades na Grande São Paulo e planejaram as ações para o ano de 2016.</w:t>
            </w:r>
          </w:p>
          <w:p w:rsidR="00000000" w:rsidRDefault="003B1D1A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sábado, </w:t>
            </w:r>
            <w:r>
              <w:rPr>
                <w:u w:val="single"/>
              </w:rPr>
              <w:t>20 de fevereiro</w:t>
            </w:r>
            <w:r>
              <w:t xml:space="preserve">, a Coordenação da </w:t>
            </w:r>
            <w:r>
              <w:rPr>
                <w:b/>
                <w:bCs/>
              </w:rPr>
              <w:t>JE Sinodal</w:t>
            </w:r>
            <w:r>
              <w:t xml:space="preserve"> re</w:t>
            </w:r>
            <w:r>
              <w:t>unir-se-á nas dependências do Sínodo Sudeste, em São Paulo/SP, para fazer o planejamento das atividades com jovens para o ano de 2016.</w:t>
            </w:r>
          </w:p>
          <w:p w:rsidR="00000000" w:rsidRDefault="003B1D1A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domingo, </w:t>
            </w:r>
            <w:r>
              <w:rPr>
                <w:u w:val="single"/>
              </w:rPr>
              <w:t>21 de fevereiro</w:t>
            </w:r>
            <w:r>
              <w:t xml:space="preserve">, o Pastor Sinodal visitará a Comunidade de </w:t>
            </w:r>
            <w:r>
              <w:rPr>
                <w:b/>
                <w:bCs/>
              </w:rPr>
              <w:t>Juiz de Fora</w:t>
            </w:r>
            <w:r>
              <w:t>/MG, onde participará de cultos e reun</w:t>
            </w:r>
            <w:r>
              <w:t>ião do Presbitério.</w:t>
            </w:r>
          </w:p>
          <w:p w:rsidR="00000000" w:rsidRDefault="003B1D1A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3B1D1A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  <w:lang w:val="pt-PT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lang w:val="pt-PT"/>
              </w:rPr>
              <w:t xml:space="preserve"> </w:t>
            </w:r>
          </w:p>
          <w:p w:rsidR="00000000" w:rsidRDefault="003B1D1A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VEM AÍ!...</w:t>
            </w:r>
          </w:p>
          <w:p w:rsidR="00000000" w:rsidRDefault="003B1D1A">
            <w:pPr>
              <w:jc w:val="center"/>
            </w:pPr>
            <w:r>
              <w:t xml:space="preserve">23 de fevereiro - </w:t>
            </w:r>
            <w:r>
              <w:rPr>
                <w:b/>
                <w:bCs/>
              </w:rPr>
              <w:t>Conferência Ministerial da UP Campinas</w:t>
            </w:r>
            <w:r>
              <w:t xml:space="preserve"> - em Limeira/SP</w:t>
            </w:r>
          </w:p>
          <w:p w:rsidR="00000000" w:rsidRDefault="003B1D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 de fevereiro - Reunião da </w:t>
            </w:r>
            <w:r>
              <w:rPr>
                <w:rFonts w:ascii="Tahoma" w:hAnsi="Tahoma" w:cs="Tahoma"/>
                <w:b/>
                <w:bCs/>
                <w:color w:val="000000"/>
              </w:rPr>
              <w:t>Diretoria</w:t>
            </w:r>
            <w:r>
              <w:rPr>
                <w:rFonts w:ascii="Tahoma" w:hAnsi="Tahoma" w:cs="Tahoma"/>
                <w:color w:val="000000"/>
              </w:rPr>
              <w:t xml:space="preserve"> do Conselho Sinodal</w:t>
            </w:r>
          </w:p>
          <w:p w:rsidR="00000000" w:rsidRDefault="003B1D1A">
            <w:pPr>
              <w:jc w:val="center"/>
            </w:pPr>
            <w:r>
              <w:t xml:space="preserve">29 de fevereiro a 04 de março - </w:t>
            </w:r>
            <w:r>
              <w:br/>
            </w:r>
            <w:r>
              <w:t>Curso de Qualificação Funcional - Pastores Sinodais - Cuiabá/MT</w:t>
            </w:r>
          </w:p>
          <w:p w:rsidR="00000000" w:rsidRDefault="003B1D1A">
            <w:pPr>
              <w:rPr>
                <w:rFonts w:ascii="Arial" w:hAnsi="Arial" w:cs="Arial"/>
                <w:b/>
                <w:bCs/>
                <w:i/>
                <w:iCs/>
                <w:color w:val="215868"/>
              </w:rPr>
            </w:pPr>
          </w:p>
          <w:p w:rsidR="00000000" w:rsidRDefault="003B1D1A">
            <w:pPr>
              <w:pStyle w:val="Ttulo1"/>
              <w:shd w:val="clear" w:color="auto" w:fill="9900FF"/>
              <w:spacing w:before="60" w:beforeAutospacing="0" w:after="0" w:afterAutospacing="0"/>
              <w:jc w:val="center"/>
              <w:divId w:val="995911742"/>
              <w:rPr>
                <w:rStyle w:val="Forte"/>
                <w:rFonts w:eastAsia="Times New Roman"/>
                <w:smallCaps/>
                <w:color w:val="FFFFFF"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color w:val="FFFFFF"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3B1D1A">
            <w:pPr>
              <w:shd w:val="clear" w:color="auto" w:fill="E5DFEC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  <w:color w:val="215868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4A442A"/>
              </w:rPr>
              <w:t>A</w:t>
            </w:r>
            <w:r>
              <w:rPr>
                <w:rStyle w:val="Forte"/>
                <w:rFonts w:ascii="Century Gothic" w:hAnsi="Century Gothic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  <w:color w:val="4A442A"/>
              </w:rPr>
              <w:t>Cultos ...</w:t>
            </w:r>
            <w:proofErr w:type="gramEnd"/>
          </w:p>
          <w:p w:rsidR="00000000" w:rsidRDefault="003B1D1A">
            <w:pPr>
              <w:spacing w:before="60"/>
              <w:jc w:val="center"/>
              <w:divId w:val="831723606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21 de Fevereiro – 2º DOMINGO NA QUARESMA (REMINISCERE)</w:t>
            </w:r>
            <w:r>
              <w:rPr>
                <w:b/>
                <w:bCs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destinadas pela Comunidade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Local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</w:t>
            </w:r>
          </w:p>
          <w:p w:rsidR="00000000" w:rsidRDefault="003B1D1A">
            <w:pPr>
              <w:ind w:left="90" w:right="90"/>
              <w:jc w:val="both"/>
              <w:divId w:val="831723606"/>
              <w:rPr>
                <w:rFonts w:ascii="Arial" w:hAnsi="Arial" w:cs="Arial"/>
              </w:rPr>
            </w:pP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D1A">
            <w:pPr>
              <w:rPr>
                <w:sz w:val="2"/>
                <w:szCs w:val="2"/>
              </w:rPr>
            </w:pPr>
          </w:p>
          <w:p w:rsidR="00000000" w:rsidRDefault="003B1D1A">
            <w:pPr>
              <w:pStyle w:val="Ttulo1"/>
              <w:shd w:val="clear" w:color="auto" w:fill="9900FF"/>
              <w:spacing w:before="0" w:beforeAutospacing="0" w:after="75" w:afterAutospacing="0" w:line="413" w:lineRule="atLeast"/>
              <w:jc w:val="center"/>
              <w:divId w:val="736637108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Lema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 Bíblico da Semana</w:t>
            </w:r>
          </w:p>
          <w:p w:rsidR="00000000" w:rsidRDefault="003B1D1A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3B1D1A">
            <w:pPr>
              <w:shd w:val="clear" w:color="auto" w:fill="FDE9D9"/>
              <w:jc w:val="center"/>
              <w:rPr>
                <w:rFonts w:ascii="Arial Rounded MT Bold" w:hAnsi="Arial Rounded MT Bold"/>
                <w:color w:val="21586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2º Domingo na Quaresma (REMINISCERE)</w:t>
            </w:r>
          </w:p>
          <w:p w:rsidR="00000000" w:rsidRDefault="003B1D1A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bíblicos</w:t>
            </w:r>
          </w:p>
          <w:p w:rsidR="00000000" w:rsidRDefault="003B1D1A">
            <w:pPr>
              <w:shd w:val="clear" w:color="auto" w:fill="FDE9D9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3B1D1A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Lucas 13.31-35; Gênesis 15.1-12,17-18; Salmo 27; </w:t>
            </w:r>
            <w:proofErr w:type="spellStart"/>
            <w:r>
              <w:rPr>
                <w:rFonts w:ascii="Arial" w:hAnsi="Arial" w:cs="Arial"/>
              </w:rPr>
              <w:t>Filipenses</w:t>
            </w:r>
            <w:proofErr w:type="spellEnd"/>
            <w:r>
              <w:rPr>
                <w:rFonts w:ascii="Arial" w:hAnsi="Arial" w:cs="Arial"/>
              </w:rPr>
              <w:t xml:space="preserve"> 3.17-4.1</w:t>
            </w:r>
          </w:p>
          <w:p w:rsidR="00000000" w:rsidRDefault="003B1D1A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Romanos 5.1-11; Marcos 12.1-12; Salmo 123</w:t>
            </w:r>
          </w:p>
          <w:p w:rsidR="00000000" w:rsidRDefault="003B1D1A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3B1D1A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3B1D1A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Deus amou o mundo de tal maneira que deu seu Filho unigênito, para que todo o que nele crê não pereça, mas tenha a vida eterna. João 3.16</w:t>
            </w:r>
          </w:p>
          <w:p w:rsidR="00000000" w:rsidRDefault="003B1D1A">
            <w:pPr>
              <w:shd w:val="clear" w:color="auto" w:fill="FDE9D9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</w:p>
          <w:p w:rsidR="00000000" w:rsidRDefault="003B1D1A">
            <w:pPr>
              <w:shd w:val="clear" w:color="auto" w:fill="FBD4B4"/>
              <w:jc w:val="center"/>
            </w:pPr>
          </w:p>
          <w:p w:rsidR="00000000" w:rsidRDefault="003B1D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62230</wp:posOffset>
                  </wp:positionV>
                  <wp:extent cx="1443355" cy="1076325"/>
                  <wp:effectExtent l="19050" t="0" r="4445" b="0"/>
                  <wp:wrapSquare wrapText="bothSides"/>
                  <wp:docPr id="3" name="Imagem 2" descr="6 MANDAMENTO 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6 MANDAMENTO 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3B1D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3B1D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OS MANDAMENTOS</w:t>
            </w:r>
          </w:p>
          <w:p w:rsidR="00000000" w:rsidRDefault="003B1D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00000" w:rsidRDefault="003B1D1A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6º MANDAMENTO</w:t>
            </w:r>
          </w:p>
          <w:p w:rsidR="00000000" w:rsidRDefault="003B1D1A">
            <w:pPr>
              <w:shd w:val="clear" w:color="auto" w:fill="FBD4B4"/>
              <w:jc w:val="both"/>
              <w:rPr>
                <w:rFonts w:ascii="Arial" w:hAnsi="Arial" w:cs="Arial"/>
              </w:rPr>
            </w:pPr>
          </w:p>
          <w:p w:rsidR="00000000" w:rsidRDefault="003B1D1A">
            <w:pPr>
              <w:shd w:val="clear" w:color="auto" w:fill="FBD4B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“Devemos temer 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amar a Deus e, por isso, levar uma vida sexual responsável e disciplinada, em palavras e ações, e amar e respeitar a esposa ou o marido.”</w:t>
            </w:r>
          </w:p>
          <w:p w:rsidR="00000000" w:rsidRDefault="003B1D1A">
            <w:pPr>
              <w:shd w:val="clear" w:color="auto" w:fill="FBD4B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(Explicação ao Sexto Mandamento – Catecismo Menor de Martim Lutero).</w:t>
            </w:r>
          </w:p>
          <w:p w:rsidR="00000000" w:rsidRDefault="003B1D1A">
            <w:pPr>
              <w:shd w:val="clear" w:color="auto" w:fill="FBD4B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(Não cometa adultério - Êxodo 20.14)</w:t>
            </w:r>
          </w:p>
          <w:p w:rsidR="00000000" w:rsidRDefault="003B1D1A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adultério </w:t>
            </w:r>
            <w:r>
              <w:rPr>
                <w:rFonts w:ascii="Arial" w:hAnsi="Arial" w:cs="Arial"/>
                <w:sz w:val="22"/>
                <w:szCs w:val="22"/>
              </w:rPr>
              <w:t>vem da expressão latina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"ad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alterum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torum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 que quer dizer "na cama do outro". No dicionário assim é definido: "infidelidade conjugal;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amantismo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prevaricação". Também pode ser definido como relacionamento com pessoa estranha à relação matrimonial.</w:t>
            </w:r>
          </w:p>
          <w:p w:rsidR="00000000" w:rsidRDefault="003B1D1A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que le</w:t>
            </w:r>
            <w:r>
              <w:rPr>
                <w:rFonts w:ascii="Arial" w:hAnsi="Arial" w:cs="Arial"/>
                <w:sz w:val="22"/>
                <w:szCs w:val="22"/>
              </w:rPr>
              <w:t>va pessoas ao adultério? É a falta de amor e respeito pela esposa ou marido? É uma relação conjugal que já não nutre mais amor um pelo outro? É a falta de sintonia na relação sexual? É a televisão que nos inunda diariamente com imagens eróticas nunca vista</w:t>
            </w:r>
            <w:r>
              <w:rPr>
                <w:rFonts w:ascii="Arial" w:hAnsi="Arial" w:cs="Arial"/>
                <w:sz w:val="22"/>
                <w:szCs w:val="22"/>
              </w:rPr>
              <w:t xml:space="preserve">s na história da humanidade? </w:t>
            </w:r>
          </w:p>
          <w:p w:rsidR="00000000" w:rsidRDefault="003B1D1A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s motivos que levam ao adultério são diversos. Porém, o que é danoso, são 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consequências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Surge a desconfiança. A agressividade.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autoestima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é abalada. Conflitos e acusações se intensificam. Há os que se divorciam. Há os q</w:t>
            </w:r>
            <w:r>
              <w:rPr>
                <w:rFonts w:ascii="Arial" w:hAnsi="Arial" w:cs="Arial"/>
                <w:sz w:val="22"/>
                <w:szCs w:val="22"/>
              </w:rPr>
              <w:t xml:space="preserve">ue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devolvem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na mesma moeda. Há os que se “sujeitam” ao adultério por dificuldades financeiras. Há desestruturação familiar.</w:t>
            </w:r>
          </w:p>
          <w:p w:rsidR="00000000" w:rsidRDefault="003B1D1A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</w:rPr>
              <w:t xml:space="preserve">utero diz no catecismo maior que a intenção do mandamento “é ensinar que tenhamos o cuidado de evitar qualquer dano ao próximo”. O </w:t>
            </w:r>
            <w:r>
              <w:rPr>
                <w:rFonts w:ascii="Arial" w:hAnsi="Arial" w:cs="Arial"/>
              </w:rPr>
              <w:t xml:space="preserve">que nos leva ao cuidado de evitar dano ao próximo? Creio que a resposta está na explicação que Lutero dá no começo de todos os mandamentos: “Devemos temer e amar a Deus...” É o temor a Deus que nos faz cuidar com amor e carinho do nosso cônjuge. É o temor </w:t>
            </w:r>
            <w:r>
              <w:rPr>
                <w:rFonts w:ascii="Arial" w:hAnsi="Arial" w:cs="Arial"/>
              </w:rPr>
              <w:t xml:space="preserve">a Deus que nos faz dialogar sobre a vida sexual e, no caso de dificuldades, nos leva a buscar profissionais da saúde que possam nos orientar. </w:t>
            </w:r>
          </w:p>
          <w:p w:rsidR="00000000" w:rsidRDefault="003B1D1A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</w:rPr>
              <w:t xml:space="preserve">m </w:t>
            </w:r>
            <w:proofErr w:type="gramStart"/>
            <w:r>
              <w:rPr>
                <w:rFonts w:ascii="Arial" w:hAnsi="Arial" w:cs="Arial"/>
              </w:rPr>
              <w:t>1 Coríntios 13</w:t>
            </w:r>
            <w:proofErr w:type="gramEnd"/>
            <w:r>
              <w:rPr>
                <w:rFonts w:ascii="Arial" w:hAnsi="Arial" w:cs="Arial"/>
              </w:rPr>
              <w:t xml:space="preserve"> é destacado que eu posso falar línguas, ter o dom de anunciar mensagens, poderia dar tudo o que</w:t>
            </w:r>
            <w:r>
              <w:rPr>
                <w:rFonts w:ascii="Arial" w:hAnsi="Arial" w:cs="Arial"/>
              </w:rPr>
              <w:t xml:space="preserve"> tenho, mas se não tiver amor, nada adianta. Se não temos no coração o temor ao Senhor que nos abençoa com o amor de Cristo Jesus, é difícil viver na relação com o outro um amor que suporta tudo com fé, esperança e paciência. </w:t>
            </w:r>
          </w:p>
          <w:p w:rsidR="00000000" w:rsidRDefault="003B1D1A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>
              <w:rPr>
                <w:rFonts w:ascii="Arial" w:hAnsi="Arial" w:cs="Arial"/>
              </w:rPr>
              <w:t>uem teme a Deus não usa, não</w:t>
            </w:r>
            <w:r>
              <w:rPr>
                <w:rFonts w:ascii="Arial" w:hAnsi="Arial" w:cs="Arial"/>
              </w:rPr>
              <w:t xml:space="preserve"> abusa e nem se aproveita do outro. Quem teme a Deus não procura desfazer, menosprezar, trair, escravizar o outro. O verdadeiro amor, que Deus nos dá em Cristo Jesus, cultiva a fidelidade, a compreensão, a franqueza, que, por sua vez, valoriza e perdoa o o</w:t>
            </w:r>
            <w:r>
              <w:rPr>
                <w:rFonts w:ascii="Arial" w:hAnsi="Arial" w:cs="Arial"/>
              </w:rPr>
              <w:t>utro.</w:t>
            </w:r>
          </w:p>
          <w:p w:rsidR="00000000" w:rsidRDefault="003B1D1A">
            <w:pPr>
              <w:shd w:val="clear" w:color="auto" w:fill="FBD4B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00000" w:rsidRDefault="003B1D1A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Pastor Sinodal Ernani Ropke</w:t>
            </w:r>
          </w:p>
          <w:p w:rsidR="00000000" w:rsidRDefault="003B1D1A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3B1D1A">
            <w:pPr>
              <w:pStyle w:val="Ttulo1"/>
              <w:shd w:val="clear" w:color="auto" w:fill="9900FF"/>
              <w:spacing w:before="0" w:beforeAutospacing="0" w:after="0" w:afterAutospacing="0"/>
              <w:jc w:val="center"/>
              <w:divId w:val="5789688"/>
              <w:rPr>
                <w:rStyle w:val="Forte"/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  <w:shd w:val="clear" w:color="auto" w:fill="9900FF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3B1D1A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3B1D1A">
            <w:pPr>
              <w:pStyle w:val="Ttulo1"/>
              <w:spacing w:after="75" w:afterAutospacing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Palavras têm poder, mas o silêncio também tem</w:t>
            </w:r>
          </w:p>
          <w:p w:rsidR="00000000" w:rsidRDefault="003B1D1A">
            <w:pPr>
              <w:spacing w:after="12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É tão triste perceber que as pessoas </w:t>
            </w:r>
            <w:r>
              <w:rPr>
                <w:rFonts w:ascii="Times New Roman" w:hAnsi="Times New Roman"/>
                <w:sz w:val="18"/>
                <w:szCs w:val="18"/>
              </w:rPr>
              <w:t>não se escutam, não ouvem realmente o que a outra está dizendo. Há muitos “ruídos” na comunicação, há muitos conflitos por causa da falta de comunicar adequadamente o que se pensou, o que se quer; aí entram os regionalismos, o jeito de falar, ou silenciar,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o escutar/ ouvir. Guerras já aconteceram por causa de falta de entendimento dos fatos na hora de comunicá-los.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tem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também a maldade da natureza humana que distorce fatos, acontecimentos</w:t>
            </w:r>
            <w:r>
              <w:rPr>
                <w:rFonts w:ascii="Times New Roman" w:hAnsi="Times New Roman"/>
                <w:color w:val="215868"/>
                <w:sz w:val="20"/>
                <w:szCs w:val="20"/>
              </w:rPr>
              <w:t>...</w:t>
            </w:r>
          </w:p>
          <w:p w:rsidR="00000000" w:rsidRDefault="003B1D1A">
            <w:pPr>
              <w:spacing w:after="120"/>
              <w:jc w:val="right"/>
              <w:rPr>
                <w:rFonts w:ascii="Times New Roman" w:hAnsi="Times New Roman"/>
                <w:b/>
                <w:bCs/>
                <w:i/>
                <w:iCs/>
                <w:color w:val="215868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</w:rPr>
                <w:t>Clique para ler o texto completo&gt;&gt;&gt;</w:t>
              </w:r>
            </w:hyperlink>
          </w:p>
          <w:p w:rsidR="00000000" w:rsidRDefault="003B1D1A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3B1D1A">
            <w:pPr>
              <w:pStyle w:val="Ttulo1"/>
              <w:shd w:val="clear" w:color="auto" w:fill="9900FF"/>
              <w:spacing w:before="0" w:beforeAutospacing="0" w:after="0" w:afterAutospacing="0"/>
              <w:jc w:val="center"/>
              <w:divId w:val="1918243649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Aniversários</w:t>
            </w:r>
          </w:p>
          <w:p w:rsidR="00000000" w:rsidRDefault="003B1D1A">
            <w:pPr>
              <w:rPr>
                <w:rFonts w:ascii="Arial" w:hAnsi="Arial" w:cs="Arial"/>
                <w:color w:val="215868"/>
                <w:lang w:val="en-US"/>
              </w:rPr>
            </w:pP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pPr>
              <w:shd w:val="clear" w:color="auto" w:fill="9900FF"/>
              <w:jc w:val="center"/>
              <w:divId w:val="682632583"/>
              <w:rPr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  <w:shd w:val="clear" w:color="auto" w:fill="9900FF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proofErr w:type="gramEnd"/>
          </w:p>
          <w:p w:rsidR="00000000" w:rsidRDefault="003B1D1A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457825" cy="1209675"/>
                  <wp:effectExtent l="19050" t="0" r="9525" b="0"/>
                  <wp:docPr id="2" name="Imagem 2" descr="500 ano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3B1D1A">
            <w:pPr>
              <w:shd w:val="clear" w:color="auto" w:fill="9900FF"/>
              <w:spacing w:before="120"/>
              <w:jc w:val="center"/>
              <w:divId w:val="943923223"/>
              <w:rPr>
                <w:b/>
                <w:bCs/>
                <w:i/>
                <w:iCs/>
                <w:color w:val="BFBFBF"/>
              </w:rPr>
            </w:pPr>
            <w:hyperlink r:id="rId11" w:history="1"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Notícias das Comunidades e Paróquias do Sinodo </w:t>
              </w:r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Sudeste publicadas no </w:t>
              </w:r>
              <w:proofErr w:type="gramStart"/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FFFFFF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BFBFBF"/>
              </w:rPr>
              <w:t>Alguns destaques da última Semana:</w:t>
            </w:r>
          </w:p>
          <w:p w:rsidR="00000000" w:rsidRDefault="003B1D1A">
            <w:pPr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18/02/2016         </w:t>
            </w:r>
            <w:hyperlink r:id="rId1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 PARA O 2º DOMINGO DA QUARESMA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16/02/2016         </w:t>
            </w:r>
            <w:hyperlink r:id="rId1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Palavras têm poder, mas o silêncio também tem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14/02/2016       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Culto de Encerramento da Assembléia Paroquial e presença das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crianças :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Culto das Crianças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13/02/2016       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Projeto Educar pela Paz - Rio das Ostras/RJ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12/02/2016   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Prédica: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Casa comum e nossa responsabilidade - um chamado da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quaresma.</w:t>
              </w:r>
              <w:proofErr w:type="gramEnd"/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11/02/2016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de Cristo Luterana - Boletim Expresso - Nº 290 – 160211 - Texto da prédica: Deuteronômio 26.1-11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11/02/2016         </w:t>
            </w:r>
            <w:hyperlink r:id="rId18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87 - 160211 - Texto da prédica: Deuteronômio 26.1-11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11/02/2016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GRUPO EMANUEL</w:t>
              </w:r>
            </w:hyperlink>
          </w:p>
          <w:p w:rsidR="00000000" w:rsidRDefault="003B1D1A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10/02/2016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Lançamento da Campanha da Fraternidade Ecumênica em São Paulo/SP</w:t>
              </w:r>
            </w:hyperlink>
          </w:p>
          <w:p w:rsidR="00000000" w:rsidRDefault="003B1D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    </w:t>
            </w: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3B1D1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</w:t>
            </w:r>
            <w:r>
              <w:rPr>
                <w:rFonts w:ascii="Calibri" w:hAnsi="Calibri" w:cs="Calibri"/>
                <w:i/>
                <w:iCs/>
                <w:color w:val="404040"/>
              </w:rPr>
              <w:t>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21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22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 2015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   </w:t>
            </w:r>
            <w:hyperlink r:id="rId23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4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incluir novo endereço de e-mail para receber este Boletim, clique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5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r>
              <w:t> </w:t>
            </w:r>
          </w:p>
        </w:tc>
      </w:tr>
      <w:tr w:rsidR="00000000" w:rsidTr="006C5CBC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B1D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1D1A" w:rsidRDefault="003B1D1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3B1D1A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631B0C"/>
    <w:rsid w:val="003B1D1A"/>
    <w:rsid w:val="00631B0C"/>
    <w:rsid w:val="006C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8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8263258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3663710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3172360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4392322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9591174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6629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91824364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textos/sudeste/palavras-tem-poder-mas-o-silencio-tambem-tem" TargetMode="External"/><Relationship Id="rId13" Type="http://schemas.openxmlformats.org/officeDocument/2006/relationships/hyperlink" Target="http://luteranos.com.br/textos/sudeste/palavras-tem-poder-mas-o-silencio-tambem-tem" TargetMode="External"/><Relationship Id="rId18" Type="http://schemas.openxmlformats.org/officeDocument/2006/relationships/hyperlink" Target="http://luteranos.com.br/noticias/santos-sp/luteranos-santos-boletim-semanal-n-87-160211-texto-da-predica-deuteronomio-26-1-1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ssuu.com/portaluteranos/stacks/be7206e0fb414a7c88a82df2635278d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luteranos.com.br/textos/sudeste/predica-para-o-2-domingo-da-quaresma" TargetMode="External"/><Relationship Id="rId17" Type="http://schemas.openxmlformats.org/officeDocument/2006/relationships/hyperlink" Target="http://luteranos.com.br/noticias/vila-campo-grande-diadema/capela-de-cristo-luterana-boletim-expresso-n-289-160211-texto-da-predica-deuteronomio-26-1-11" TargetMode="External"/><Relationship Id="rId25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teranos.com.br/textos/belo-horizonte-bh/casa-comum-e-nossa-responsabilidade-um-chamado-da-quaresma" TargetMode="External"/><Relationship Id="rId20" Type="http://schemas.openxmlformats.org/officeDocument/2006/relationships/hyperlink" Target="http://luteranos.com.br/noticias/sudeste/lancamento-da-campanha-da-fraternidade-ecumenica-em-sao-paul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" TargetMode="External"/><Relationship Id="rId24" Type="http://schemas.openxmlformats.org/officeDocument/2006/relationships/hyperlink" Target="mailto:sinodosudeste@luteranos.com.br?subject=Cancelamento%20de%20Boletim&amp;body=Favor%20cancelar%20o%20envio%20do%20Boletim%20Seman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uteranos.com.br/conteudo/projeto-educar-pela-paz" TargetMode="External"/><Relationship Id="rId23" Type="http://schemas.openxmlformats.org/officeDocument/2006/relationships/hyperlink" Target="http://luteranos.com.br/conteudo_organizacao/sudeste/boletim-semanal-ano-2016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luteranos.com.br/noticias/rio-claro-sp/grupo-emanuel-36797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conteudo_organizacao_lista/1/6/2650" TargetMode="External"/><Relationship Id="rId14" Type="http://schemas.openxmlformats.org/officeDocument/2006/relationships/hyperlink" Target="http://luteranos.com.br/noticias/niteroi-esperanca/culto-de-encerramento-da-assembleia-paroquial-e-presenca-das-criancas-culto-das-criancas" TargetMode="External"/><Relationship Id="rId22" Type="http://schemas.openxmlformats.org/officeDocument/2006/relationships/hyperlink" Target="http://luteranos.com.br/conteudo_organizacao/sudeste/boletim-semanal-ano-2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2016-03-10T19:55:00Z</dcterms:created>
  <dcterms:modified xsi:type="dcterms:W3CDTF">2016-03-10T19:55:00Z</dcterms:modified>
</cp:coreProperties>
</file>